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D81E0" w14:textId="77777777" w:rsidR="002B554D" w:rsidRDefault="002B554D" w:rsidP="002B554D">
      <w:p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ROMANIA</w:t>
      </w:r>
    </w:p>
    <w:p w14:paraId="40BC3AA7" w14:textId="77777777" w:rsidR="002B554D" w:rsidRDefault="002B554D" w:rsidP="002B554D">
      <w:pPr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CONSILIUL LOCAL AL COMUNEI ALEXANDRU ODOBESCU</w:t>
      </w:r>
    </w:p>
    <w:p w14:paraId="52431C35" w14:textId="1022EF10" w:rsidR="00870D3F" w:rsidRPr="004A53A9" w:rsidRDefault="002B554D" w:rsidP="002B55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4A53A9">
        <w:rPr>
          <w:rFonts w:ascii="Times New Roman" w:eastAsia="Times New Roman" w:hAnsi="Times New Roman" w:cs="Times New Roman"/>
          <w:lang w:val="it-IT"/>
        </w:rPr>
        <w:t>JUDETUL CALARASI</w:t>
      </w:r>
    </w:p>
    <w:p w14:paraId="739E027B" w14:textId="3F05A8D2" w:rsidR="00870D3F" w:rsidRPr="00205954" w:rsidRDefault="00870D3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D211BD" w14:textId="77777777" w:rsidR="00870D3F" w:rsidRPr="0020595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0595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HOTARARE</w:t>
      </w:r>
    </w:p>
    <w:p w14:paraId="002F5D1B" w14:textId="0B8188D0" w:rsidR="002B554D" w:rsidRPr="00205954" w:rsidRDefault="002B554D" w:rsidP="00734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bookmarkStart w:id="0" w:name="_gjdgxs" w:colFirst="0" w:colLast="0"/>
      <w:bookmarkEnd w:id="0"/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Privind aprobarea documentației tehnico-economice faza SF și a indicatorilor tehnico-economici pentru proiectul “INFIINTARE CENTRU DE COLECTARE PRIN APORT VOLUNTAR IN </w:t>
      </w:r>
      <w:r w:rsidR="001D057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SAT NICOLAE BALCESCU,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>COMUNA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ALEXANDRU ODOBESCU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>, JUDETUL CALARASI</w:t>
      </w:r>
      <w:r w:rsidRPr="0020595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” 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>proiect finanțat prin“Planul National de Redresare si Rezilienta Componenta C3- Managementul deseurilor, Investitia I1, Subinvestitia I1.A”</w:t>
      </w:r>
    </w:p>
    <w:p w14:paraId="34138E48" w14:textId="77777777" w:rsidR="002B554D" w:rsidRPr="00205954" w:rsidRDefault="002B554D" w:rsidP="00734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D461FD8" w14:textId="77777777" w:rsidR="002B554D" w:rsidRPr="00205954" w:rsidRDefault="002B554D" w:rsidP="0073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Consiliul Local al Comunei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ALEXANDRU ODOBESCU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</w:p>
    <w:p w14:paraId="364098D5" w14:textId="77777777" w:rsidR="002B554D" w:rsidRPr="00205954" w:rsidRDefault="002B554D" w:rsidP="00734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Având în vedere:</w:t>
      </w:r>
    </w:p>
    <w:p w14:paraId="6733E47D" w14:textId="77777777" w:rsidR="002B554D" w:rsidRPr="00205954" w:rsidRDefault="002B554D" w:rsidP="0073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>- referatul de aprobare  nr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.2839 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04.07.2023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 prezentat de domnul primar al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COMUNEI ALEXANDRU ODOBESCU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EREMIA NICULAE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; </w:t>
      </w:r>
    </w:p>
    <w:p w14:paraId="4CD189B1" w14:textId="77777777" w:rsidR="002B554D" w:rsidRPr="00205954" w:rsidRDefault="002B554D" w:rsidP="0073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raportul de specialitate al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d-lui MIRCEA MARIUS CRISTIAN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înregistrat la nr.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2838 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din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04.07.2023</w:t>
      </w:r>
    </w:p>
    <w:p w14:paraId="1D9C35ED" w14:textId="77777777" w:rsidR="002B554D" w:rsidRPr="00205954" w:rsidRDefault="002B554D" w:rsidP="0073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CCD8AC9" w14:textId="46A2F932" w:rsidR="002B554D" w:rsidRPr="00E33F70" w:rsidRDefault="002B554D" w:rsidP="00734FDD">
      <w:pPr>
        <w:pStyle w:val="Default"/>
      </w:pPr>
      <w:r w:rsidRPr="00205954">
        <w:rPr>
          <w:rFonts w:eastAsia="Times New Roman"/>
          <w:lang w:val="it-IT"/>
        </w:rPr>
        <w:t xml:space="preserve">-  Contractul de finanțare nr. </w:t>
      </w:r>
      <w:r>
        <w:t xml:space="preserve"> C3I1A0122000243 </w:t>
      </w:r>
      <w:r w:rsidRPr="00205954">
        <w:rPr>
          <w:rFonts w:eastAsia="Times New Roman"/>
          <w:lang w:val="it-IT"/>
        </w:rPr>
        <w:t xml:space="preserve"> incheiat intre UAT Comuna Unirea si MMAP pentru proiectul </w:t>
      </w:r>
      <w:r w:rsidR="001D057F" w:rsidRPr="00205954">
        <w:rPr>
          <w:rFonts w:eastAsia="Times New Roman"/>
          <w:lang w:val="it-IT"/>
        </w:rPr>
        <w:t xml:space="preserve">“INFIINTARE CENTRU DE COLECTARE PRIN APORT VOLUNTAR IN </w:t>
      </w:r>
      <w:r w:rsidR="001D057F">
        <w:rPr>
          <w:rFonts w:eastAsia="Times New Roman"/>
          <w:lang w:val="it-IT"/>
        </w:rPr>
        <w:t xml:space="preserve"> SAT NICOLAE BALCESCU,</w:t>
      </w:r>
      <w:r w:rsidR="001D057F" w:rsidRPr="00205954">
        <w:rPr>
          <w:rFonts w:eastAsia="Times New Roman"/>
          <w:lang w:val="it-IT"/>
        </w:rPr>
        <w:t>COMUNA</w:t>
      </w:r>
      <w:r w:rsidR="001D057F">
        <w:rPr>
          <w:rFonts w:eastAsia="Times New Roman"/>
          <w:lang w:val="it-IT"/>
        </w:rPr>
        <w:t xml:space="preserve"> ALEXANDRU ODOBESCU</w:t>
      </w:r>
      <w:r w:rsidR="001D057F" w:rsidRPr="00205954">
        <w:rPr>
          <w:rFonts w:eastAsia="Times New Roman"/>
          <w:lang w:val="it-IT"/>
        </w:rPr>
        <w:t>, JUDETUL CALARASI</w:t>
      </w:r>
      <w:r w:rsidR="001D057F" w:rsidRPr="00205954">
        <w:rPr>
          <w:rFonts w:eastAsia="Times New Roman"/>
          <w:b/>
          <w:lang w:val="it-IT"/>
        </w:rPr>
        <w:t>”</w:t>
      </w:r>
    </w:p>
    <w:p w14:paraId="4451F1A6" w14:textId="07EEF2A6" w:rsidR="002B554D" w:rsidRPr="00E33F70" w:rsidRDefault="002B554D" w:rsidP="00734FDD">
      <w:pPr>
        <w:rPr>
          <w:lang w:val="ro-RO"/>
        </w:rPr>
      </w:pPr>
      <w:r w:rsidRPr="00E33F7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E33F70">
        <w:rPr>
          <w:lang w:val="ro-RO"/>
        </w:rPr>
        <w:t xml:space="preserve">Având în vedere Studiul de Fezabilitate </w:t>
      </w:r>
      <w:r w:rsidR="001D057F" w:rsidRPr="001D057F">
        <w:rPr>
          <w:rFonts w:ascii="Times New Roman" w:eastAsia="Times New Roman" w:hAnsi="Times New Roman" w:cs="Times New Roman"/>
          <w:sz w:val="24"/>
          <w:szCs w:val="24"/>
          <w:lang w:val="ro-RO"/>
        </w:rPr>
        <w:t>“INFIINTARE CENTRU DE COLECTARE PRIN APORT VOLUNTAR IN  SAT NICOLAE BALCESCU,COMUNA ALEXANDRU ODOBESCU, JUDETUL CALARASI</w:t>
      </w:r>
      <w:r w:rsidR="001D057F" w:rsidRPr="001D05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” </w:t>
      </w:r>
      <w:r w:rsidRPr="00E33F7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33F70">
        <w:rPr>
          <w:lang w:val="ro-RO"/>
        </w:rPr>
        <w:t xml:space="preserve">elaborat de SC </w:t>
      </w:r>
      <w:r w:rsidR="001D057F">
        <w:rPr>
          <w:lang w:val="ro-RO"/>
        </w:rPr>
        <w:t xml:space="preserve">JOYZABLE </w:t>
      </w:r>
      <w:r w:rsidRPr="00E33F70">
        <w:rPr>
          <w:lang w:val="ro-RO"/>
        </w:rPr>
        <w:t xml:space="preserve"> SRL</w:t>
      </w:r>
    </w:p>
    <w:p w14:paraId="16B042BA" w14:textId="77777777" w:rsidR="002B554D" w:rsidRPr="00205954" w:rsidRDefault="002B554D" w:rsidP="00734FDD">
      <w:pPr>
        <w:rPr>
          <w:lang w:val="es-ES_tradnl"/>
        </w:rPr>
      </w:pPr>
      <w:r w:rsidRPr="00205954">
        <w:rPr>
          <w:lang w:val="es-ES_tradnl"/>
        </w:rPr>
        <w:t>Ținând seama de următoarele acte normative:</w:t>
      </w:r>
    </w:p>
    <w:p w14:paraId="02FC8FBF" w14:textId="3B738424" w:rsidR="002B554D" w:rsidRPr="001D057F" w:rsidRDefault="002B554D" w:rsidP="00734FDD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D057F">
        <w:rPr>
          <w:rFonts w:ascii="Times New Roman" w:eastAsia="Times New Roman" w:hAnsi="Times New Roman" w:cs="Times New Roman"/>
          <w:sz w:val="24"/>
          <w:szCs w:val="24"/>
          <w:lang w:val="es-ES_tradnl"/>
        </w:rPr>
        <w:t>-HCL nr. 14/26.01.2023 Privind exprimarea acordului Consiliului Local al Comunei ALEXANDRU ODOBESCU pentru depunerea cererii de finantare  pentru proiectul “</w:t>
      </w:r>
      <w:r w:rsidR="001D057F" w:rsidRPr="001D057F">
        <w:rPr>
          <w:rFonts w:ascii="Times New Roman" w:eastAsia="Times New Roman" w:hAnsi="Times New Roman" w:cs="Times New Roman"/>
          <w:sz w:val="24"/>
          <w:szCs w:val="24"/>
          <w:lang w:val="es-ES_tradnl"/>
        </w:rPr>
        <w:t>“INFIINTARE CENTRU DE COLECTARE PRIN APORT VOLUNTAR IN  SAT NICOLAE BALCESCU,COMUNA ALEXANDRU ODOBESCU, JUDETUL CALARASI</w:t>
      </w:r>
      <w:r w:rsidR="001D057F" w:rsidRPr="001D057F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”</w:t>
      </w:r>
      <w:r w:rsidRPr="001D057F">
        <w:rPr>
          <w:rFonts w:ascii="Times New Roman" w:eastAsia="Times New Roman" w:hAnsi="Times New Roman" w:cs="Times New Roman"/>
          <w:sz w:val="24"/>
          <w:szCs w:val="24"/>
          <w:lang w:val="es-ES_tradnl"/>
        </w:rPr>
        <w:t>, finantare prin PNRR, Componenta 3- Managementul deseurilor, Investitia I1, Subinvestitia I1.A</w:t>
      </w:r>
    </w:p>
    <w:p w14:paraId="2E235260" w14:textId="77777777" w:rsidR="002B554D" w:rsidRPr="00FE7B06" w:rsidRDefault="002B554D" w:rsidP="00734FDD">
      <w:pPr>
        <w:rPr>
          <w:lang w:val="es-ES_tradnl"/>
        </w:rPr>
      </w:pPr>
      <w:r w:rsidRPr="001D057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FE7B06">
        <w:rPr>
          <w:lang w:val="es-ES_tradnl"/>
        </w:rPr>
        <w:t>-Decizia de punere în aplicare a Consiliului din 3 noiembrie 2021 de aprobare a evaluării Planului de Redresare și Reziliență al României,</w:t>
      </w:r>
    </w:p>
    <w:p w14:paraId="1C1C0B5D" w14:textId="77777777" w:rsidR="002B554D" w:rsidRPr="00FE7B06" w:rsidRDefault="002B554D" w:rsidP="00734FDD">
      <w:pPr>
        <w:rPr>
          <w:lang w:val="es-ES_tradnl"/>
        </w:rPr>
      </w:pPr>
      <w:r w:rsidRPr="00FE7B06">
        <w:rPr>
          <w:lang w:val="es-ES_tradnl"/>
        </w:rPr>
        <w:t>-Ordonanța de Urgență nr. 124/2021 privind stabilirea cadrului instituțional și financiar pentru gestionarea fondurilor europene alocate României prin Mecanismul de Redresare și Reziliență, precum și pentru modificarea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Reziliență,</w:t>
      </w:r>
    </w:p>
    <w:p w14:paraId="7AECBB22" w14:textId="77777777" w:rsidR="002B554D" w:rsidRPr="00FE7B06" w:rsidRDefault="002B554D" w:rsidP="00734FDD">
      <w:pPr>
        <w:rPr>
          <w:lang w:val="es-ES_tradnl"/>
        </w:rPr>
      </w:pPr>
      <w:r w:rsidRPr="00FE7B06">
        <w:rPr>
          <w:lang w:val="es-ES_tradnl"/>
        </w:rPr>
        <w:t>-Hotărârea Guvernului nr. 209/2022 pentru aprobarea Normelor metodologice de aplicare a prevederilor 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Reziliență,</w:t>
      </w:r>
    </w:p>
    <w:p w14:paraId="66D40B13" w14:textId="77777777" w:rsidR="002B554D" w:rsidRPr="00FE7B06" w:rsidRDefault="002B554D" w:rsidP="00734FDD">
      <w:pPr>
        <w:rPr>
          <w:lang w:val="es-ES_tradnl"/>
        </w:rPr>
      </w:pPr>
      <w:r w:rsidRPr="00FE7B06">
        <w:rPr>
          <w:lang w:val="es-ES_tradnl"/>
        </w:rPr>
        <w:lastRenderedPageBreak/>
        <w:t>-Ordinul Ministrului Mediului, Apelor și Pădurilor nr. 1541/2022 privind aprobarea Schemei de ajutor de stat pentru compensarea costurilor de investiții necesare pentru dezvoltarea infrastructurii de management al deșeurilor municipale din România,</w:t>
      </w:r>
    </w:p>
    <w:p w14:paraId="6FB9BE54" w14:textId="77777777" w:rsidR="002B554D" w:rsidRPr="00FE7B06" w:rsidRDefault="002B554D" w:rsidP="0073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es-ES_tradnl"/>
        </w:rPr>
      </w:pPr>
      <w:r w:rsidRPr="00FE7B06">
        <w:rPr>
          <w:rFonts w:ascii="Times New Roman" w:eastAsia="Times New Roman" w:hAnsi="Times New Roman" w:cs="Times New Roman"/>
          <w:sz w:val="23"/>
          <w:szCs w:val="23"/>
          <w:lang w:val="es-ES_tradnl"/>
        </w:rPr>
        <w:t xml:space="preserve">- prevederile art. 44 alin .1 dinLegea nr. 273/2006 privindfinanţelepublice locale, cumodificărileşicompletărileulterioare, </w:t>
      </w:r>
    </w:p>
    <w:p w14:paraId="57D1DED5" w14:textId="77777777" w:rsidR="002B554D" w:rsidRPr="00FE7B06" w:rsidRDefault="002B554D" w:rsidP="00734F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es-ES_tradnl"/>
        </w:rPr>
      </w:pPr>
    </w:p>
    <w:p w14:paraId="295E861E" w14:textId="77777777" w:rsidR="002B554D" w:rsidRPr="00FE7B06" w:rsidRDefault="002B554D" w:rsidP="00734FDD">
      <w:pPr>
        <w:jc w:val="center"/>
        <w:rPr>
          <w:rFonts w:ascii="Times New Roman" w:eastAsia="Times New Roman" w:hAnsi="Times New Roman" w:cs="Times New Roman"/>
          <w:lang w:val="es-ES_tradnl"/>
        </w:rPr>
      </w:pPr>
      <w:r w:rsidRPr="00FE7B06">
        <w:rPr>
          <w:rFonts w:ascii="Times New Roman" w:eastAsia="Times New Roman" w:hAnsi="Times New Roman" w:cs="Times New Roman"/>
          <w:b/>
          <w:lang w:val="es-ES_tradnl"/>
        </w:rPr>
        <w:t>HOTĂRĂȘTE</w:t>
      </w:r>
      <w:r w:rsidRPr="00FE7B06">
        <w:rPr>
          <w:rFonts w:ascii="Times New Roman" w:eastAsia="Times New Roman" w:hAnsi="Times New Roman" w:cs="Times New Roman"/>
          <w:lang w:val="es-ES_tradnl"/>
        </w:rPr>
        <w:t>:</w:t>
      </w:r>
    </w:p>
    <w:p w14:paraId="2A4C0697" w14:textId="17E63626" w:rsidR="002B554D" w:rsidRPr="00FE7B06" w:rsidRDefault="002B554D" w:rsidP="00734FDD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Art.1.</w:t>
      </w:r>
      <w:r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Se aprobă </w:t>
      </w:r>
      <w:r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Documentatia tehnica- faza Studiu de Fezabilitate (SF) pentru proiectul</w:t>
      </w:r>
      <w:r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="001D057F"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>“INFIINTARE CENTRU DE COLECTARE PRIN APORT VOLUNTAR IN  SAT NICOLAE BALCESCU,COMUNA ALEXANDRU ODOBESCU, JUDETUL CALARASI</w:t>
      </w:r>
      <w:r w:rsidR="001D057F"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”</w:t>
      </w:r>
      <w:r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finantare prin PNRR, Componenta 3- Managementul deseurilor, Investitia I1, Subinvestitia I1.A, conform </w:t>
      </w:r>
      <w:r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Anexei nr.1</w:t>
      </w:r>
      <w:r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care face parte integrantă din  prezenta hotărâre.</w:t>
      </w:r>
    </w:p>
    <w:p w14:paraId="41A59297" w14:textId="32A44D53" w:rsidR="002B554D" w:rsidRPr="00FE7B06" w:rsidRDefault="002B554D" w:rsidP="00734FDD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Art. 2.</w:t>
      </w:r>
      <w:r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Se aprobă devizul general pentru proiectul: </w:t>
      </w:r>
      <w:r w:rsidRPr="00FE7B06">
        <w:rPr>
          <w:rFonts w:ascii="Times New Roman" w:eastAsia="Times New Roman" w:hAnsi="Times New Roman" w:cs="Times New Roman"/>
          <w:b/>
          <w:sz w:val="20"/>
          <w:szCs w:val="20"/>
          <w:lang w:val="es-ES_tradnl"/>
        </w:rPr>
        <w:t>“</w:t>
      </w:r>
      <w:r w:rsidR="001D057F"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>“INFIINTARE CENTRU DE COLECTARE PRIN APORT VOLUNTAR IN  SAT NICOLAE BALCESCU,COMUNA ALEXANDRU ODOBESCU, JUDETUL CALARASI</w:t>
      </w:r>
      <w:r w:rsidR="001D057F"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” </w:t>
      </w:r>
      <w:r w:rsidRPr="00FE7B06">
        <w:rPr>
          <w:rFonts w:ascii="Times New Roman" w:eastAsia="Times New Roman" w:hAnsi="Times New Roman" w:cs="Times New Roman"/>
          <w:b/>
          <w:sz w:val="20"/>
          <w:szCs w:val="20"/>
          <w:lang w:val="es-ES_tradnl"/>
        </w:rPr>
        <w:t xml:space="preserve"> </w:t>
      </w:r>
      <w:r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conform Anexei nr. 2, care face parte integranta din prezenta hotarare. </w:t>
      </w:r>
    </w:p>
    <w:p w14:paraId="07F58C7E" w14:textId="362066CF" w:rsidR="002B554D" w:rsidRPr="00FE7B06" w:rsidRDefault="002B554D" w:rsidP="00734FDD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Art.3. Se aprobă principalii indicatori tehnico-economici aferenți investiției: </w:t>
      </w:r>
      <w:r w:rsidRPr="00FE7B06">
        <w:rPr>
          <w:rFonts w:ascii="Times New Roman" w:eastAsia="Times New Roman" w:hAnsi="Times New Roman" w:cs="Times New Roman"/>
          <w:b/>
          <w:sz w:val="20"/>
          <w:szCs w:val="20"/>
          <w:lang w:val="es-ES_tradnl"/>
        </w:rPr>
        <w:t>“</w:t>
      </w:r>
      <w:r w:rsidR="001D057F"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>“INFIINTARE CENTRU DE COLECTARE PRIN APORT VOLUNTAR IN  SAT NICOLAE BALCESCU,COMUNA ALEXANDRU ODOBESCU, JUDETUL CALARASI</w:t>
      </w:r>
      <w:r w:rsidR="001D057F"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”</w:t>
      </w:r>
      <w:r w:rsidRPr="00FE7B06">
        <w:rPr>
          <w:rFonts w:ascii="Times New Roman" w:eastAsia="Times New Roman" w:hAnsi="Times New Roman" w:cs="Times New Roman"/>
          <w:b/>
          <w:lang w:val="es-ES_tradnl"/>
        </w:rPr>
        <w:t xml:space="preserve">, </w:t>
      </w:r>
      <w:r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>conform Anexei nr.3 care face parte integrantă din  prezenta hotarare</w:t>
      </w:r>
      <w:r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. </w:t>
      </w:r>
    </w:p>
    <w:p w14:paraId="721B64E2" w14:textId="2F5F8712" w:rsidR="002B554D" w:rsidRPr="00FE7B06" w:rsidRDefault="002B554D" w:rsidP="00734FDD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es-ES_tradnl"/>
        </w:rPr>
      </w:pPr>
      <w:r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Art. 4.</w:t>
      </w:r>
      <w:r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Se aprobă finanțarea cheltuielilor neeligibile în valoare de </w:t>
      </w:r>
      <w:r w:rsidR="004A53A9" w:rsidRPr="00FE7B0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423.605,41</w:t>
      </w:r>
      <w:r w:rsidR="004A53A9"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lei </w:t>
      </w:r>
      <w:r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inclusiv TVA, din bugetul local al Comunei ALEXANDRU ODOBESCU, pentru proiectul: </w:t>
      </w:r>
      <w:r w:rsidR="001D057F" w:rsidRPr="00FE7B06">
        <w:rPr>
          <w:rFonts w:ascii="Times New Roman" w:eastAsia="Times New Roman" w:hAnsi="Times New Roman" w:cs="Times New Roman"/>
          <w:sz w:val="24"/>
          <w:szCs w:val="24"/>
          <w:lang w:val="es-ES_tradnl"/>
        </w:rPr>
        <w:t>“INFIINTARE CENTRU DE COLECTARE PRIN APORT VOLUNTAR IN  SAT NICOLAE BALCESCU,COMUNA ALEXANDRU ODOBESCU, JUDETUL CALARASI</w:t>
      </w:r>
      <w:r w:rsidR="001D057F" w:rsidRPr="00FE7B0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”.</w:t>
      </w:r>
    </w:p>
    <w:p w14:paraId="1FFA2B43" w14:textId="77777777" w:rsidR="002B554D" w:rsidRPr="00FE7B06" w:rsidRDefault="002B554D" w:rsidP="00734FD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5B5A783D" w14:textId="77777777" w:rsidR="002B554D" w:rsidRPr="00205954" w:rsidRDefault="002B554D" w:rsidP="00734FD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0595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Art.5.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Primarul, împreună cu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compartimentul financiar- contabil</w:t>
      </w:r>
      <w:r w:rsidRPr="0020595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vor aduce la îndeplinire prevederile prezentei hotărâri, potrivit competenţelor. </w:t>
      </w:r>
    </w:p>
    <w:p w14:paraId="38C3A044" w14:textId="77777777" w:rsidR="002B554D" w:rsidRPr="00205954" w:rsidRDefault="002B554D" w:rsidP="00734FD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3E81DF4" w14:textId="77777777" w:rsidR="002B554D" w:rsidRPr="00AC7C1B" w:rsidRDefault="002B554D" w:rsidP="002B554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AC7C1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6.</w:t>
      </w:r>
      <w:r w:rsidRPr="00AC7C1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764A0">
        <w:rPr>
          <w:sz w:val="24"/>
          <w:szCs w:val="24"/>
          <w:lang w:val="ro-RO"/>
        </w:rPr>
        <w:t xml:space="preserve">Prezenta hotărâre va fi comunicata, </w:t>
      </w:r>
      <w:r w:rsidRPr="000764A0">
        <w:rPr>
          <w:rStyle w:val="markedcontent"/>
          <w:sz w:val="24"/>
          <w:szCs w:val="24"/>
          <w:lang w:val="ro-RO"/>
        </w:rPr>
        <w:t xml:space="preserve"> prin grija secretarului general al</w:t>
      </w:r>
      <w:r w:rsidRPr="000764A0">
        <w:rPr>
          <w:sz w:val="24"/>
          <w:szCs w:val="24"/>
          <w:lang w:val="ro-RO"/>
        </w:rPr>
        <w:br/>
      </w:r>
      <w:r w:rsidRPr="000764A0">
        <w:rPr>
          <w:rStyle w:val="markedcontent"/>
          <w:sz w:val="24"/>
          <w:szCs w:val="24"/>
          <w:lang w:val="ro-RO"/>
        </w:rPr>
        <w:t>comunei Alexandru Odobescu, județul călărași va fi înaintată și comunicată Instituției Prefectului – Județul Călărași, Primarului comunei Alexandru Odobescu si compartimentului financiar -</w:t>
      </w:r>
      <w:r w:rsidRPr="000764A0">
        <w:rPr>
          <w:sz w:val="24"/>
          <w:szCs w:val="24"/>
          <w:lang w:val="ro-RO"/>
        </w:rPr>
        <w:br/>
      </w:r>
      <w:r w:rsidRPr="000764A0">
        <w:rPr>
          <w:rStyle w:val="markedcontent"/>
          <w:sz w:val="24"/>
          <w:szCs w:val="24"/>
          <w:lang w:val="ro-RO"/>
        </w:rPr>
        <w:t>contabil si va fi adusa la cunoștință publica prin afișare la sediul instituției, si prin</w:t>
      </w:r>
      <w:r w:rsidRPr="000764A0">
        <w:rPr>
          <w:sz w:val="24"/>
          <w:szCs w:val="24"/>
          <w:lang w:val="ro-RO"/>
        </w:rPr>
        <w:br/>
      </w:r>
      <w:r w:rsidRPr="000764A0">
        <w:rPr>
          <w:rStyle w:val="markedcontent"/>
          <w:sz w:val="24"/>
          <w:szCs w:val="24"/>
          <w:lang w:val="ro-RO"/>
        </w:rPr>
        <w:t xml:space="preserve">publicare pe site-ul </w:t>
      </w:r>
      <w:r w:rsidR="00000000">
        <w:fldChar w:fldCharType="begin"/>
      </w:r>
      <w:r w:rsidR="00000000" w:rsidRPr="00FE7B06">
        <w:rPr>
          <w:lang w:val="it-IT"/>
        </w:rPr>
        <w:instrText>HYPERLINK "http://www.primariaodobescu.ro"</w:instrText>
      </w:r>
      <w:r w:rsidR="00000000">
        <w:fldChar w:fldCharType="separate"/>
      </w:r>
      <w:r w:rsidRPr="000764A0">
        <w:rPr>
          <w:rStyle w:val="Hyperlink"/>
          <w:sz w:val="24"/>
          <w:szCs w:val="24"/>
          <w:lang w:val="ro-RO"/>
        </w:rPr>
        <w:t>www.primariaodobescu.ro</w:t>
      </w:r>
      <w:r w:rsidR="00000000">
        <w:rPr>
          <w:rStyle w:val="Hyperlink"/>
          <w:sz w:val="24"/>
          <w:szCs w:val="24"/>
          <w:lang w:val="ro-RO"/>
        </w:rPr>
        <w:fldChar w:fldCharType="end"/>
      </w:r>
      <w:r w:rsidRPr="000764A0">
        <w:rPr>
          <w:rStyle w:val="markedcontent"/>
          <w:sz w:val="24"/>
          <w:szCs w:val="24"/>
          <w:lang w:val="ro-RO"/>
        </w:rPr>
        <w:t>, in termenele stabilite de lege</w:t>
      </w:r>
    </w:p>
    <w:tbl>
      <w:tblPr>
        <w:tblStyle w:val="a"/>
        <w:tblW w:w="13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8"/>
        <w:gridCol w:w="4385"/>
      </w:tblGrid>
      <w:tr w:rsidR="00870D3F" w:rsidRPr="00FE7B06" w14:paraId="01D7B65D" w14:textId="77777777">
        <w:trPr>
          <w:trHeight w:val="255"/>
        </w:trPr>
        <w:tc>
          <w:tcPr>
            <w:tcW w:w="9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FDE068" w14:textId="77777777" w:rsidR="00870D3F" w:rsidRPr="002B554D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it-IT"/>
              </w:rPr>
            </w:pPr>
          </w:p>
          <w:p w14:paraId="37EC3F3D" w14:textId="43BD470D" w:rsidR="002B554D" w:rsidRPr="00F35C43" w:rsidRDefault="002B554D" w:rsidP="002B554D">
            <w:pPr>
              <w:rPr>
                <w:sz w:val="24"/>
                <w:szCs w:val="24"/>
                <w:lang w:val="ro-RO"/>
              </w:rPr>
            </w:pPr>
            <w:r w:rsidRPr="00F35C43">
              <w:rPr>
                <w:sz w:val="24"/>
                <w:szCs w:val="24"/>
                <w:lang w:val="ro-RO"/>
              </w:rPr>
              <w:t>Președinte ședință,                                                    Contrasemnează Secretar general U.A.T,</w:t>
            </w:r>
          </w:p>
          <w:p w14:paraId="7D42EBEF" w14:textId="77777777" w:rsidR="002B554D" w:rsidRPr="00F35C43" w:rsidRDefault="002B554D" w:rsidP="002B554D">
            <w:pPr>
              <w:tabs>
                <w:tab w:val="left" w:pos="6870"/>
              </w:tabs>
              <w:rPr>
                <w:sz w:val="24"/>
                <w:szCs w:val="24"/>
                <w:lang w:val="ro-RO"/>
              </w:rPr>
            </w:pPr>
            <w:r w:rsidRPr="00F35C43">
              <w:rPr>
                <w:sz w:val="24"/>
                <w:szCs w:val="24"/>
                <w:lang w:val="ro-RO"/>
              </w:rPr>
              <w:t>David Victor</w:t>
            </w:r>
            <w:r w:rsidRPr="00F35C43">
              <w:rPr>
                <w:sz w:val="24"/>
                <w:szCs w:val="24"/>
                <w:lang w:val="ro-RO"/>
              </w:rPr>
              <w:tab/>
              <w:t>Doinita ILIE</w:t>
            </w:r>
          </w:p>
          <w:p w14:paraId="0B623BCB" w14:textId="77777777" w:rsidR="002B554D" w:rsidRPr="00F35C43" w:rsidRDefault="002B554D" w:rsidP="002B554D">
            <w:pPr>
              <w:rPr>
                <w:sz w:val="24"/>
                <w:szCs w:val="24"/>
                <w:lang w:val="ro-RO"/>
              </w:rPr>
            </w:pPr>
          </w:p>
          <w:p w14:paraId="5CC95E34" w14:textId="77777777" w:rsidR="002B554D" w:rsidRPr="00F35C43" w:rsidRDefault="002B554D" w:rsidP="002B554D">
            <w:pPr>
              <w:rPr>
                <w:sz w:val="24"/>
                <w:szCs w:val="24"/>
                <w:lang w:val="ro-RO"/>
              </w:rPr>
            </w:pPr>
          </w:p>
          <w:p w14:paraId="342FD392" w14:textId="77777777" w:rsidR="002B554D" w:rsidRPr="009A2C58" w:rsidRDefault="002B554D" w:rsidP="002B554D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29D46A59" w14:textId="3C04A0F6" w:rsidR="002B554D" w:rsidRPr="009A2C58" w:rsidRDefault="002B554D" w:rsidP="002B554D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9A2C58">
              <w:rPr>
                <w:color w:val="000000" w:themeColor="text1"/>
                <w:sz w:val="24"/>
                <w:szCs w:val="24"/>
                <w:lang w:val="ro-RO"/>
              </w:rPr>
              <w:t xml:space="preserve">Nr.  </w:t>
            </w:r>
            <w:r w:rsidR="009A2C58" w:rsidRPr="009A2C58">
              <w:rPr>
                <w:color w:val="000000" w:themeColor="text1"/>
                <w:sz w:val="24"/>
                <w:szCs w:val="24"/>
                <w:lang w:val="ro-RO"/>
              </w:rPr>
              <w:t>50</w:t>
            </w:r>
          </w:p>
          <w:p w14:paraId="550097CC" w14:textId="77777777" w:rsidR="002B554D" w:rsidRPr="009A2C58" w:rsidRDefault="002B554D" w:rsidP="002B554D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9A2C58">
              <w:rPr>
                <w:color w:val="000000" w:themeColor="text1"/>
                <w:sz w:val="24"/>
                <w:szCs w:val="24"/>
                <w:lang w:val="ro-RO"/>
              </w:rPr>
              <w:t>Adoptată la comuna Alexandru Odobescu</w:t>
            </w:r>
          </w:p>
          <w:p w14:paraId="12CC412F" w14:textId="188D13EE" w:rsidR="002B554D" w:rsidRPr="009A2C58" w:rsidRDefault="002B554D" w:rsidP="002B554D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9A2C58">
              <w:rPr>
                <w:color w:val="000000" w:themeColor="text1"/>
                <w:sz w:val="24"/>
                <w:szCs w:val="24"/>
                <w:lang w:val="ro-RO"/>
              </w:rPr>
              <w:t>Astăzi 1</w:t>
            </w:r>
            <w:r w:rsidR="009A2C58" w:rsidRPr="009A2C58">
              <w:rPr>
                <w:color w:val="000000" w:themeColor="text1"/>
                <w:sz w:val="24"/>
                <w:szCs w:val="24"/>
                <w:lang w:val="ro-RO"/>
              </w:rPr>
              <w:t>2</w:t>
            </w:r>
            <w:r w:rsidRPr="009A2C58">
              <w:rPr>
                <w:color w:val="000000" w:themeColor="text1"/>
                <w:sz w:val="24"/>
                <w:szCs w:val="24"/>
                <w:lang w:val="ro-RO"/>
              </w:rPr>
              <w:t>.07.2023</w:t>
            </w:r>
          </w:p>
          <w:p w14:paraId="69B8D8E0" w14:textId="4AAFF104" w:rsidR="00870D3F" w:rsidRPr="001D057F" w:rsidRDefault="002B554D" w:rsidP="001D057F">
            <w:pPr>
              <w:rPr>
                <w:sz w:val="24"/>
                <w:szCs w:val="24"/>
                <w:lang w:val="ro-RO"/>
              </w:rPr>
            </w:pPr>
            <w:r w:rsidRPr="009A2C58">
              <w:rPr>
                <w:color w:val="000000" w:themeColor="text1"/>
                <w:sz w:val="24"/>
                <w:szCs w:val="24"/>
                <w:lang w:val="ro-RO"/>
              </w:rPr>
              <w:t xml:space="preserve">Adoptată cu   </w:t>
            </w:r>
            <w:r w:rsidR="009A2C58" w:rsidRPr="009A2C58">
              <w:rPr>
                <w:color w:val="000000" w:themeColor="text1"/>
                <w:sz w:val="24"/>
                <w:szCs w:val="24"/>
                <w:lang w:val="ro-RO"/>
              </w:rPr>
              <w:t>7</w:t>
            </w:r>
            <w:r w:rsidRPr="009A2C58">
              <w:rPr>
                <w:color w:val="000000" w:themeColor="text1"/>
                <w:sz w:val="24"/>
                <w:szCs w:val="24"/>
                <w:lang w:val="ro-RO"/>
              </w:rPr>
              <w:t xml:space="preserve"> voturi pentru   , împotrivă </w:t>
            </w:r>
            <w:r w:rsidRPr="00F35C43">
              <w:rPr>
                <w:sz w:val="24"/>
                <w:szCs w:val="24"/>
                <w:lang w:val="ro-RO"/>
              </w:rPr>
              <w:t xml:space="preserve">- nu   , </w:t>
            </w:r>
            <w:proofErr w:type="spellStart"/>
            <w:r w:rsidRPr="00F35C43">
              <w:rPr>
                <w:sz w:val="24"/>
                <w:szCs w:val="24"/>
                <w:lang w:val="ro-RO"/>
              </w:rPr>
              <w:t>abţineri</w:t>
            </w:r>
            <w:proofErr w:type="spellEnd"/>
            <w:r w:rsidRPr="00F35C43">
              <w:rPr>
                <w:sz w:val="24"/>
                <w:szCs w:val="24"/>
                <w:lang w:val="ro-RO"/>
              </w:rPr>
              <w:t xml:space="preserve"> - nu .</w:t>
            </w:r>
          </w:p>
        </w:tc>
        <w:tc>
          <w:tcPr>
            <w:tcW w:w="4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64ECA7" w14:textId="77777777" w:rsidR="00870D3F" w:rsidRPr="002B554D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ro-RO"/>
              </w:rPr>
            </w:pPr>
          </w:p>
        </w:tc>
      </w:tr>
      <w:tr w:rsidR="00870D3F" w:rsidRPr="00FE7B06" w14:paraId="0CB63589" w14:textId="77777777">
        <w:trPr>
          <w:trHeight w:val="255"/>
        </w:trPr>
        <w:tc>
          <w:tcPr>
            <w:tcW w:w="9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81EF97" w14:textId="402E1675" w:rsidR="00870D3F" w:rsidRPr="008B46B1" w:rsidRDefault="00870D3F" w:rsidP="002B5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</w:pPr>
          </w:p>
          <w:p w14:paraId="7AD134AA" w14:textId="77777777" w:rsidR="00870D3F" w:rsidRPr="008B46B1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</w:pPr>
          </w:p>
          <w:p w14:paraId="46DE6288" w14:textId="6316F459" w:rsidR="00870D3F" w:rsidRPr="008B4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</w:pPr>
            <w:r w:rsidRPr="008B46B1"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  <w:t>ANEXA NR</w:t>
            </w:r>
            <w:r w:rsidR="0094391D"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  <w:t xml:space="preserve">. </w:t>
            </w:r>
            <w:r w:rsidRPr="008B46B1"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  <w:t>3 LA HCL</w:t>
            </w:r>
            <w:r w:rsidR="009A2C58" w:rsidRPr="008B46B1"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  <w:t xml:space="preserve"> 50/12.07</w:t>
            </w:r>
            <w:r w:rsidRPr="008B46B1"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  <w:t>.</w:t>
            </w:r>
            <w:r w:rsidR="009A2C58" w:rsidRPr="008B46B1"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  <w:t>2023</w:t>
            </w:r>
          </w:p>
          <w:p w14:paraId="5C76D026" w14:textId="77777777" w:rsidR="00870D3F" w:rsidRPr="008B46B1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</w:pPr>
          </w:p>
          <w:p w14:paraId="551C2C5A" w14:textId="77777777" w:rsidR="00870D3F" w:rsidRPr="008B46B1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</w:pPr>
          </w:p>
          <w:p w14:paraId="34DE5DC6" w14:textId="294D6526" w:rsidR="00870D3F" w:rsidRPr="008B46B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</w:pPr>
            <w:r w:rsidRPr="008B46B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 xml:space="preserve">Indicatorii </w:t>
            </w:r>
            <w:proofErr w:type="spellStart"/>
            <w:r w:rsidRPr="008B46B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>tehnico</w:t>
            </w:r>
            <w:proofErr w:type="spellEnd"/>
            <w:r w:rsidRPr="008B46B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 xml:space="preserve">-economici pentru obiectivul de </w:t>
            </w:r>
            <w:r w:rsidR="008B46B1" w:rsidRPr="008B46B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>investiții</w:t>
            </w:r>
          </w:p>
          <w:p w14:paraId="51C0500B" w14:textId="6195CB95" w:rsidR="00870D3F" w:rsidRPr="001D057F" w:rsidRDefault="00943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>„</w:t>
            </w:r>
            <w:r w:rsidR="001D057F" w:rsidRPr="00FE7B06">
              <w:rPr>
                <w:b/>
                <w:bCs/>
                <w:sz w:val="24"/>
                <w:szCs w:val="24"/>
                <w:lang w:val="ro-RO"/>
              </w:rPr>
              <w:t>INFIINTARE CENTRU DE COLECTARE PRIN APORT VOLUNTAR IN  SAT NICOLAE BALCESCU,COMUNA ALEXANDRU ODOBESCU, JUDETUL CALARASI</w:t>
            </w:r>
            <w:r w:rsidRPr="001D057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 xml:space="preserve">” </w:t>
            </w:r>
          </w:p>
          <w:p w14:paraId="2219EB12" w14:textId="77777777" w:rsidR="0094391D" w:rsidRPr="008B46B1" w:rsidRDefault="00943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</w:pPr>
          </w:p>
          <w:p w14:paraId="59CB8B0A" w14:textId="77777777" w:rsidR="00870D3F" w:rsidRPr="008B46B1" w:rsidRDefault="00000000">
            <w:pPr>
              <w:pStyle w:val="Titlu2"/>
              <w:ind w:right="218"/>
              <w:rPr>
                <w:rFonts w:ascii="Times New Roman" w:eastAsia="Times New Roman" w:hAnsi="Times New Roman" w:cs="Times New Roman"/>
                <w:highlight w:val="white"/>
                <w:lang w:val="ro-RO"/>
              </w:rPr>
            </w:pPr>
            <w:r w:rsidRPr="008B46B1">
              <w:rPr>
                <w:rFonts w:ascii="Times New Roman" w:eastAsia="Times New Roman" w:hAnsi="Times New Roman" w:cs="Times New Roman"/>
                <w:lang w:val="ro-RO"/>
              </w:rPr>
              <w:t>a)</w:t>
            </w:r>
            <w:r w:rsidRPr="008B46B1">
              <w:rPr>
                <w:rFonts w:ascii="Times New Roman" w:eastAsia="Times New Roman" w:hAnsi="Times New Roman" w:cs="Times New Roman"/>
                <w:lang w:val="ro-RO"/>
              </w:rPr>
              <w:tab/>
            </w:r>
            <w:r w:rsidRPr="008B46B1">
              <w:rPr>
                <w:rFonts w:ascii="Times New Roman" w:eastAsia="Times New Roman" w:hAnsi="Times New Roman" w:cs="Times New Roman"/>
                <w:highlight w:val="white"/>
                <w:lang w:val="ro-RO"/>
              </w:rPr>
              <w:t>indicatori maximali, respectiv valoarea totală a obiectului de investiții, exprimată în lei, cu TVA și  respectiv, fără TVA, din care construcții-montaj (C+M), în conformitate cu devizul general</w:t>
            </w:r>
          </w:p>
          <w:p w14:paraId="70A1DEB0" w14:textId="77777777" w:rsidR="00870D3F" w:rsidRPr="008B46B1" w:rsidRDefault="00870D3F">
            <w:pPr>
              <w:rPr>
                <w:sz w:val="24"/>
                <w:szCs w:val="24"/>
                <w:lang w:val="ro-RO"/>
              </w:rPr>
            </w:pPr>
          </w:p>
          <w:tbl>
            <w:tblPr>
              <w:tblStyle w:val="a0"/>
              <w:tblW w:w="888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98"/>
              <w:gridCol w:w="2203"/>
              <w:gridCol w:w="1706"/>
              <w:gridCol w:w="2175"/>
            </w:tblGrid>
            <w:tr w:rsidR="009A2C58" w:rsidRPr="008B46B1" w14:paraId="526F9213" w14:textId="77777777" w:rsidTr="003029DD">
              <w:tc>
                <w:tcPr>
                  <w:tcW w:w="2798" w:type="dxa"/>
                  <w:shd w:val="clear" w:color="auto" w:fill="D9D9D9"/>
                  <w:vAlign w:val="center"/>
                </w:tcPr>
                <w:p w14:paraId="50B6F97E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Indicator</w:t>
                  </w:r>
                </w:p>
              </w:tc>
              <w:tc>
                <w:tcPr>
                  <w:tcW w:w="2203" w:type="dxa"/>
                  <w:shd w:val="clear" w:color="auto" w:fill="D9D9D9"/>
                  <w:vAlign w:val="center"/>
                </w:tcPr>
                <w:p w14:paraId="168E2FB8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Valoare fără TVA</w:t>
                  </w:r>
                </w:p>
                <w:p w14:paraId="67C96143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(lei)</w:t>
                  </w:r>
                </w:p>
              </w:tc>
              <w:tc>
                <w:tcPr>
                  <w:tcW w:w="1706" w:type="dxa"/>
                  <w:shd w:val="clear" w:color="auto" w:fill="D9D9D9"/>
                </w:tcPr>
                <w:p w14:paraId="33A522C1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Valoare TVA</w:t>
                  </w:r>
                </w:p>
                <w:p w14:paraId="613310AA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(lei)</w:t>
                  </w:r>
                </w:p>
              </w:tc>
              <w:tc>
                <w:tcPr>
                  <w:tcW w:w="2175" w:type="dxa"/>
                  <w:shd w:val="clear" w:color="auto" w:fill="D9D9D9"/>
                  <w:vAlign w:val="center"/>
                </w:tcPr>
                <w:p w14:paraId="7F133FB1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Valoare cu TVA</w:t>
                  </w:r>
                </w:p>
                <w:p w14:paraId="207F65C2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(lei)</w:t>
                  </w:r>
                </w:p>
              </w:tc>
            </w:tr>
            <w:tr w:rsidR="009A2C58" w:rsidRPr="008B46B1" w14:paraId="385AE107" w14:textId="77777777" w:rsidTr="003029DD">
              <w:tc>
                <w:tcPr>
                  <w:tcW w:w="2798" w:type="dxa"/>
                </w:tcPr>
                <w:p w14:paraId="1D43D180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Valoare totală a obiectivului de investiții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14:paraId="4DC8D2DF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4.190.840,65</w:t>
                  </w:r>
                </w:p>
              </w:tc>
              <w:tc>
                <w:tcPr>
                  <w:tcW w:w="1706" w:type="dxa"/>
                </w:tcPr>
                <w:p w14:paraId="2C4E97C5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791.551,28</w:t>
                  </w:r>
                </w:p>
              </w:tc>
              <w:tc>
                <w:tcPr>
                  <w:tcW w:w="2175" w:type="dxa"/>
                  <w:shd w:val="clear" w:color="auto" w:fill="auto"/>
                </w:tcPr>
                <w:p w14:paraId="5E21237A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4.982.391,93</w:t>
                  </w:r>
                </w:p>
              </w:tc>
            </w:tr>
            <w:tr w:rsidR="009A2C58" w:rsidRPr="008B46B1" w14:paraId="75C08D23" w14:textId="77777777" w:rsidTr="003029DD">
              <w:tc>
                <w:tcPr>
                  <w:tcW w:w="2798" w:type="dxa"/>
                </w:tcPr>
                <w:p w14:paraId="11779DFE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C+M</w:t>
                  </w:r>
                </w:p>
              </w:tc>
              <w:tc>
                <w:tcPr>
                  <w:tcW w:w="2203" w:type="dxa"/>
                  <w:shd w:val="clear" w:color="auto" w:fill="auto"/>
                </w:tcPr>
                <w:p w14:paraId="34F4C196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2.064.668,55</w:t>
                  </w:r>
                </w:p>
              </w:tc>
              <w:tc>
                <w:tcPr>
                  <w:tcW w:w="1706" w:type="dxa"/>
                </w:tcPr>
                <w:p w14:paraId="2CB366B1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392.287,02</w:t>
                  </w:r>
                </w:p>
              </w:tc>
              <w:tc>
                <w:tcPr>
                  <w:tcW w:w="2175" w:type="dxa"/>
                  <w:shd w:val="clear" w:color="auto" w:fill="auto"/>
                </w:tcPr>
                <w:p w14:paraId="79776DE9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2.456.955,57</w:t>
                  </w:r>
                </w:p>
              </w:tc>
            </w:tr>
          </w:tbl>
          <w:p w14:paraId="76F35D8A" w14:textId="77777777" w:rsidR="009A2C58" w:rsidRPr="008B46B1" w:rsidRDefault="009A2C58" w:rsidP="009A2C58">
            <w:pPr>
              <w:rPr>
                <w:sz w:val="24"/>
                <w:szCs w:val="24"/>
                <w:lang w:val="ro-RO"/>
              </w:rPr>
            </w:pPr>
          </w:p>
          <w:tbl>
            <w:tblPr>
              <w:tblStyle w:val="a1"/>
              <w:tblW w:w="888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13"/>
              <w:gridCol w:w="2009"/>
              <w:gridCol w:w="1761"/>
              <w:gridCol w:w="2199"/>
            </w:tblGrid>
            <w:tr w:rsidR="009A2C58" w:rsidRPr="008B46B1" w14:paraId="61241FF5" w14:textId="77777777" w:rsidTr="003029DD">
              <w:tc>
                <w:tcPr>
                  <w:tcW w:w="2913" w:type="dxa"/>
                  <w:vMerge w:val="restart"/>
                  <w:vAlign w:val="center"/>
                </w:tcPr>
                <w:p w14:paraId="715871A3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BUGETUL PROIECTULUI</w:t>
                  </w:r>
                </w:p>
              </w:tc>
              <w:tc>
                <w:tcPr>
                  <w:tcW w:w="2009" w:type="dxa"/>
                  <w:tcBorders>
                    <w:right w:val="single" w:sz="4" w:space="0" w:color="000000"/>
                  </w:tcBorders>
                  <w:vAlign w:val="center"/>
                </w:tcPr>
                <w:p w14:paraId="690C79D1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Valoare (fără TVA)</w:t>
                  </w:r>
                </w:p>
              </w:tc>
              <w:tc>
                <w:tcPr>
                  <w:tcW w:w="1761" w:type="dxa"/>
                  <w:tcBorders>
                    <w:left w:val="single" w:sz="4" w:space="0" w:color="000000"/>
                  </w:tcBorders>
                  <w:vAlign w:val="center"/>
                </w:tcPr>
                <w:p w14:paraId="1EAA2DA8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TVA</w:t>
                  </w:r>
                </w:p>
              </w:tc>
              <w:tc>
                <w:tcPr>
                  <w:tcW w:w="2199" w:type="dxa"/>
                  <w:vAlign w:val="center"/>
                </w:tcPr>
                <w:p w14:paraId="01A63AA3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Valoare inclusiv TVA</w:t>
                  </w:r>
                </w:p>
              </w:tc>
            </w:tr>
            <w:tr w:rsidR="009A2C58" w:rsidRPr="008B46B1" w14:paraId="0B285728" w14:textId="77777777" w:rsidTr="003029DD">
              <w:tc>
                <w:tcPr>
                  <w:tcW w:w="2913" w:type="dxa"/>
                  <w:vMerge/>
                  <w:vAlign w:val="center"/>
                </w:tcPr>
                <w:p w14:paraId="41EAE24E" w14:textId="77777777" w:rsidR="009A2C58" w:rsidRPr="008B46B1" w:rsidRDefault="009A2C58" w:rsidP="009A2C5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</w:p>
              </w:tc>
              <w:tc>
                <w:tcPr>
                  <w:tcW w:w="2009" w:type="dxa"/>
                  <w:tcBorders>
                    <w:right w:val="single" w:sz="4" w:space="0" w:color="000000"/>
                  </w:tcBorders>
                  <w:vAlign w:val="center"/>
                </w:tcPr>
                <w:p w14:paraId="6AF8A9A4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highlight w:val="white"/>
                      <w:lang w:val="ro-RO"/>
                    </w:rPr>
                    <w:t>lei</w:t>
                  </w:r>
                </w:p>
              </w:tc>
              <w:tc>
                <w:tcPr>
                  <w:tcW w:w="1761" w:type="dxa"/>
                  <w:tcBorders>
                    <w:left w:val="single" w:sz="4" w:space="0" w:color="000000"/>
                  </w:tcBorders>
                  <w:vAlign w:val="center"/>
                </w:tcPr>
                <w:p w14:paraId="6090FA94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highlight w:val="white"/>
                      <w:lang w:val="ro-RO"/>
                    </w:rPr>
                    <w:t>lei</w:t>
                  </w:r>
                </w:p>
              </w:tc>
              <w:tc>
                <w:tcPr>
                  <w:tcW w:w="2199" w:type="dxa"/>
                  <w:vAlign w:val="center"/>
                </w:tcPr>
                <w:p w14:paraId="34E9DF4D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highlight w:val="white"/>
                      <w:lang w:val="ro-RO"/>
                    </w:rPr>
                    <w:t>lei</w:t>
                  </w:r>
                </w:p>
              </w:tc>
            </w:tr>
            <w:tr w:rsidR="009A2C58" w:rsidRPr="008B46B1" w14:paraId="446D3247" w14:textId="77777777" w:rsidTr="003029DD">
              <w:tc>
                <w:tcPr>
                  <w:tcW w:w="2913" w:type="dxa"/>
                </w:tcPr>
                <w:p w14:paraId="25A44644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Cheltuieli cu investiția de bază</w:t>
                  </w:r>
                </w:p>
                <w:p w14:paraId="2A28630A" w14:textId="77777777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highlight w:val="white"/>
                      <w:lang w:val="ro-RO"/>
                    </w:rPr>
                    <w:t>(</w:t>
                  </w:r>
                  <w:proofErr w:type="spellStart"/>
                  <w:r w:rsidRPr="008B46B1">
                    <w:rPr>
                      <w:sz w:val="24"/>
                      <w:szCs w:val="24"/>
                      <w:highlight w:val="white"/>
                      <w:lang w:val="ro-RO"/>
                    </w:rPr>
                    <w:t>subcap</w:t>
                  </w:r>
                  <w:proofErr w:type="spellEnd"/>
                  <w:r w:rsidRPr="008B46B1">
                    <w:rPr>
                      <w:sz w:val="24"/>
                      <w:szCs w:val="24"/>
                      <w:highlight w:val="white"/>
                      <w:lang w:val="ro-RO"/>
                    </w:rPr>
                    <w:t>. 1, 2, 4, 5.1. și  5.3.)</w:t>
                  </w:r>
                </w:p>
              </w:tc>
              <w:tc>
                <w:tcPr>
                  <w:tcW w:w="2009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6C4348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3.447.821,74</w:t>
                  </w:r>
                </w:p>
              </w:tc>
              <w:tc>
                <w:tcPr>
                  <w:tcW w:w="176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565E1A64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655.086,13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14:paraId="7327441E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4.102.907,87</w:t>
                  </w:r>
                </w:p>
              </w:tc>
            </w:tr>
            <w:tr w:rsidR="009A2C58" w:rsidRPr="008B46B1" w14:paraId="21427C1B" w14:textId="77777777" w:rsidTr="003029DD">
              <w:tc>
                <w:tcPr>
                  <w:tcW w:w="2913" w:type="dxa"/>
                </w:tcPr>
                <w:p w14:paraId="2C2E9F8B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Cheltuieli suport pentru realizarea investiției de bază</w:t>
                  </w:r>
                </w:p>
              </w:tc>
              <w:tc>
                <w:tcPr>
                  <w:tcW w:w="2009" w:type="dxa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97746E1" w14:textId="77777777" w:rsidR="001D3651" w:rsidRDefault="001D3651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</w:p>
                <w:p w14:paraId="13AB517E" w14:textId="0BCBEE0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383.091,30</w:t>
                  </w:r>
                </w:p>
              </w:tc>
              <w:tc>
                <w:tcPr>
                  <w:tcW w:w="176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2E6218E1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72.787,35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14:paraId="04613BDF" w14:textId="77777777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highlight w:val="white"/>
                      <w:lang w:val="ro-RO"/>
                    </w:rPr>
                    <w:t>455.878,65</w:t>
                  </w:r>
                </w:p>
              </w:tc>
            </w:tr>
          </w:tbl>
          <w:p w14:paraId="3D345F5F" w14:textId="77777777" w:rsidR="00870D3F" w:rsidRPr="008B46B1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08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</w:pPr>
          </w:p>
          <w:p w14:paraId="3A10C362" w14:textId="77777777" w:rsidR="009A2C58" w:rsidRPr="008B46B1" w:rsidRDefault="009A2C58" w:rsidP="009A2C58">
            <w:pPr>
              <w:pStyle w:val="Titlu2"/>
              <w:numPr>
                <w:ilvl w:val="0"/>
                <w:numId w:val="3"/>
              </w:numPr>
              <w:ind w:left="720" w:right="218" w:hanging="360"/>
              <w:jc w:val="both"/>
              <w:rPr>
                <w:rFonts w:ascii="Times New Roman" w:eastAsia="Times New Roman" w:hAnsi="Times New Roman" w:cs="Times New Roman"/>
                <w:highlight w:val="white"/>
                <w:lang w:val="ro-RO"/>
              </w:rPr>
            </w:pPr>
            <w:r w:rsidRPr="008B46B1">
              <w:rPr>
                <w:rFonts w:ascii="Times New Roman" w:eastAsia="Times New Roman" w:hAnsi="Times New Roman" w:cs="Times New Roman"/>
                <w:highlight w:val="white"/>
                <w:lang w:val="ro-RO"/>
              </w:rPr>
              <w:t>indicatori minimali, respectiv indicatori de performanță - elemente fizice/capacități fizice care să indice atingerea țintei obiectivului de investiții - și, după caz, calitativi, în conformitate cu standardele, normativele și reglementările tehnice în vigoare</w:t>
            </w:r>
          </w:p>
          <w:p w14:paraId="30245F8B" w14:textId="77777777" w:rsidR="009A2C58" w:rsidRPr="008B46B1" w:rsidRDefault="009A2C58" w:rsidP="009A2C58">
            <w:pPr>
              <w:rPr>
                <w:lang w:val="ro-RO"/>
              </w:rPr>
            </w:pPr>
          </w:p>
          <w:p w14:paraId="7E722245" w14:textId="77777777" w:rsidR="009A2C58" w:rsidRPr="008B46B1" w:rsidRDefault="009A2C58" w:rsidP="009A2C58">
            <w:pPr>
              <w:rPr>
                <w:sz w:val="24"/>
                <w:szCs w:val="24"/>
                <w:lang w:val="ro-RO"/>
              </w:rPr>
            </w:pPr>
            <w:r w:rsidRPr="008B46B1">
              <w:rPr>
                <w:sz w:val="24"/>
                <w:szCs w:val="24"/>
                <w:lang w:val="ro-RO"/>
              </w:rPr>
              <w:t>Indicatorii proiectului vizează:</w:t>
            </w:r>
          </w:p>
          <w:p w14:paraId="7B99BBE8" w14:textId="77777777" w:rsidR="009A2C58" w:rsidRPr="008B46B1" w:rsidRDefault="009A2C58" w:rsidP="009A2C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ro-RO"/>
              </w:rPr>
            </w:pPr>
            <w:r w:rsidRPr="008B46B1"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  <w:t>realizarea unui centru de colectare prin aport voluntar operațional;</w:t>
            </w:r>
          </w:p>
          <w:p w14:paraId="53CAA373" w14:textId="77777777" w:rsidR="009A2C58" w:rsidRPr="008B46B1" w:rsidRDefault="009A2C58" w:rsidP="009A2C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ro-RO"/>
              </w:rPr>
            </w:pPr>
            <w:r w:rsidRPr="008B46B1"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  <w:t>cantitatea de deșeuri colectate separat, exprimată în tone/an;</w:t>
            </w:r>
          </w:p>
          <w:p w14:paraId="1FED4979" w14:textId="77777777" w:rsidR="009A2C58" w:rsidRPr="001D057F" w:rsidRDefault="009A2C58" w:rsidP="009A2C5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lang w:val="ro-RO"/>
              </w:rPr>
            </w:pPr>
            <w:r w:rsidRPr="008B46B1"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  <w:t>rata de reciclare exprimată în procent din deșeurile colectate separat;</w:t>
            </w:r>
          </w:p>
          <w:p w14:paraId="43CB09B0" w14:textId="77777777" w:rsidR="001D057F" w:rsidRPr="008B46B1" w:rsidRDefault="001D057F" w:rsidP="001D0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  <w:lang w:val="ro-RO"/>
              </w:rPr>
            </w:pPr>
          </w:p>
          <w:p w14:paraId="6D286080" w14:textId="77777777" w:rsidR="009A2C58" w:rsidRDefault="009A2C58" w:rsidP="009A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</w:pPr>
          </w:p>
          <w:p w14:paraId="3D03B03C" w14:textId="77777777" w:rsidR="001D057F" w:rsidRPr="008B46B1" w:rsidRDefault="001D057F" w:rsidP="009A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</w:pPr>
          </w:p>
          <w:tbl>
            <w:tblPr>
              <w:tblStyle w:val="a2"/>
              <w:tblW w:w="888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20"/>
              <w:gridCol w:w="2296"/>
              <w:gridCol w:w="2297"/>
              <w:gridCol w:w="2069"/>
            </w:tblGrid>
            <w:tr w:rsidR="009A2C58" w:rsidRPr="008B46B1" w14:paraId="74582DAF" w14:textId="77777777">
              <w:tc>
                <w:tcPr>
                  <w:tcW w:w="2220" w:type="dxa"/>
                  <w:vAlign w:val="center"/>
                </w:tcPr>
                <w:p w14:paraId="42AE1B0B" w14:textId="442566B2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lastRenderedPageBreak/>
                    <w:t>Rezultate</w:t>
                  </w:r>
                </w:p>
              </w:tc>
              <w:tc>
                <w:tcPr>
                  <w:tcW w:w="2296" w:type="dxa"/>
                  <w:vAlign w:val="center"/>
                </w:tcPr>
                <w:p w14:paraId="2C5051C2" w14:textId="0D757143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Număr la începutul implementării proiectului</w:t>
                  </w:r>
                </w:p>
              </w:tc>
              <w:tc>
                <w:tcPr>
                  <w:tcW w:w="2297" w:type="dxa"/>
                  <w:vAlign w:val="center"/>
                </w:tcPr>
                <w:p w14:paraId="205D545F" w14:textId="6A6C9F93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Număr la finalul implementării proiectului</w:t>
                  </w:r>
                </w:p>
              </w:tc>
              <w:tc>
                <w:tcPr>
                  <w:tcW w:w="2069" w:type="dxa"/>
                  <w:vAlign w:val="center"/>
                </w:tcPr>
                <w:p w14:paraId="377A92A2" w14:textId="0829954D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Ținta</w:t>
                  </w:r>
                </w:p>
              </w:tc>
            </w:tr>
            <w:tr w:rsidR="009A2C58" w:rsidRPr="008B46B1" w14:paraId="0C7CF593" w14:textId="77777777">
              <w:tc>
                <w:tcPr>
                  <w:tcW w:w="2220" w:type="dxa"/>
                </w:tcPr>
                <w:p w14:paraId="75DD94CC" w14:textId="50960AFC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Centre de colectare prin aport voluntar înființate și operaționale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</w:tcPr>
                <w:p w14:paraId="50A24A9F" w14:textId="0415E6F2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0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7D15A0FB" w14:textId="3C83487F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2069" w:type="dxa"/>
                  <w:shd w:val="clear" w:color="auto" w:fill="auto"/>
                  <w:vAlign w:val="center"/>
                </w:tcPr>
                <w:p w14:paraId="41CDBA9D" w14:textId="5A1D79D5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1</w:t>
                  </w:r>
                </w:p>
              </w:tc>
            </w:tr>
            <w:tr w:rsidR="009A2C58" w:rsidRPr="008B46B1" w14:paraId="5206B703" w14:textId="77777777">
              <w:tc>
                <w:tcPr>
                  <w:tcW w:w="2220" w:type="dxa"/>
                </w:tcPr>
                <w:p w14:paraId="30E5C864" w14:textId="6DDB5C4D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Cantitatea de deșeuri colectate separat, exprimată în tone/an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</w:tcPr>
                <w:p w14:paraId="7A4582CF" w14:textId="6DC9834D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331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57B84146" w14:textId="4C2F3B44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435</w:t>
                  </w:r>
                </w:p>
              </w:tc>
              <w:tc>
                <w:tcPr>
                  <w:tcW w:w="2069" w:type="dxa"/>
                  <w:shd w:val="clear" w:color="auto" w:fill="auto"/>
                  <w:vAlign w:val="center"/>
                </w:tcPr>
                <w:p w14:paraId="52AD00DB" w14:textId="12F9B729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104</w:t>
                  </w:r>
                </w:p>
              </w:tc>
            </w:tr>
            <w:tr w:rsidR="009A2C58" w:rsidRPr="008B46B1" w14:paraId="6EA60CEE" w14:textId="77777777">
              <w:tc>
                <w:tcPr>
                  <w:tcW w:w="2220" w:type="dxa"/>
                </w:tcPr>
                <w:p w14:paraId="66A7C5AE" w14:textId="0BF7E99B" w:rsidR="009A2C58" w:rsidRPr="008B46B1" w:rsidRDefault="009A2C58" w:rsidP="009A2C58">
                  <w:pPr>
                    <w:jc w:val="center"/>
                    <w:rPr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sz w:val="24"/>
                      <w:szCs w:val="24"/>
                      <w:lang w:val="ro-RO"/>
                    </w:rPr>
                    <w:t>Rata de reciclare exprimată în procent din deșeurile colectate separat</w:t>
                  </w:r>
                </w:p>
              </w:tc>
              <w:tc>
                <w:tcPr>
                  <w:tcW w:w="2296" w:type="dxa"/>
                  <w:shd w:val="clear" w:color="auto" w:fill="auto"/>
                  <w:vAlign w:val="center"/>
                </w:tcPr>
                <w:p w14:paraId="4D578B03" w14:textId="0ED7A8CB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0,91</w:t>
                  </w:r>
                </w:p>
              </w:tc>
              <w:tc>
                <w:tcPr>
                  <w:tcW w:w="2297" w:type="dxa"/>
                  <w:shd w:val="clear" w:color="auto" w:fill="auto"/>
                  <w:vAlign w:val="center"/>
                </w:tcPr>
                <w:p w14:paraId="327CD406" w14:textId="14F6FB6D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2,50%</w:t>
                  </w:r>
                </w:p>
              </w:tc>
              <w:tc>
                <w:tcPr>
                  <w:tcW w:w="2069" w:type="dxa"/>
                  <w:shd w:val="clear" w:color="auto" w:fill="auto"/>
                  <w:vAlign w:val="center"/>
                </w:tcPr>
                <w:p w14:paraId="79DEAD2A" w14:textId="59D80F49" w:rsidR="009A2C58" w:rsidRPr="008B46B1" w:rsidRDefault="009A2C58" w:rsidP="009A2C58">
                  <w:pPr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 w:rsidRPr="008B46B1">
                    <w:rPr>
                      <w:b/>
                      <w:sz w:val="24"/>
                      <w:szCs w:val="24"/>
                      <w:lang w:val="ro-RO"/>
                    </w:rPr>
                    <w:t>1,59%</w:t>
                  </w:r>
                </w:p>
              </w:tc>
            </w:tr>
          </w:tbl>
          <w:p w14:paraId="734AFD38" w14:textId="77777777" w:rsidR="00870D3F" w:rsidRPr="008B46B1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</w:pPr>
          </w:p>
          <w:p w14:paraId="1EE149CD" w14:textId="77777777" w:rsidR="00870D3F" w:rsidRPr="008B46B1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</w:pPr>
          </w:p>
          <w:p w14:paraId="43D90C13" w14:textId="77777777" w:rsidR="00870D3F" w:rsidRPr="008B46B1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</w:pPr>
          </w:p>
          <w:p w14:paraId="78B0FD21" w14:textId="0C1011F1" w:rsidR="00870D3F" w:rsidRPr="008B46B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</w:pPr>
            <w:r w:rsidRPr="008B46B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 xml:space="preserve">c) durata de </w:t>
            </w:r>
            <w:r w:rsidR="008B46B1" w:rsidRPr="008B46B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>execuție</w:t>
            </w:r>
            <w:r w:rsidRPr="008B46B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 xml:space="preserve"> a </w:t>
            </w:r>
            <w:r w:rsidR="008B46B1" w:rsidRPr="008B46B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>investiției</w:t>
            </w:r>
            <w:r w:rsidRPr="008B46B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o-RO"/>
              </w:rPr>
              <w:t xml:space="preserve">- C+M- 6 luni </w:t>
            </w:r>
          </w:p>
          <w:p w14:paraId="38EBDF16" w14:textId="77777777" w:rsidR="00870D3F" w:rsidRPr="008B46B1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DA31D2" w14:textId="77777777" w:rsidR="00870D3F" w:rsidRPr="00205954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it-IT"/>
              </w:rPr>
            </w:pPr>
          </w:p>
        </w:tc>
      </w:tr>
      <w:tr w:rsidR="00870D3F" w:rsidRPr="00FE7B06" w14:paraId="79B40786" w14:textId="77777777">
        <w:trPr>
          <w:trHeight w:val="184"/>
        </w:trPr>
        <w:tc>
          <w:tcPr>
            <w:tcW w:w="91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307FFE" w14:textId="77777777" w:rsidR="00870D3F" w:rsidRPr="00205954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4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AB0817" w14:textId="77777777" w:rsidR="00870D3F" w:rsidRPr="00205954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it-IT"/>
              </w:rPr>
            </w:pPr>
          </w:p>
          <w:p w14:paraId="6C624BDF" w14:textId="77777777" w:rsidR="00870D3F" w:rsidRPr="00205954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it-IT"/>
              </w:rPr>
            </w:pPr>
          </w:p>
          <w:p w14:paraId="12058B0C" w14:textId="77777777" w:rsidR="00870D3F" w:rsidRPr="00205954" w:rsidRDefault="00870D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  <w:lang w:val="it-IT"/>
              </w:rPr>
            </w:pPr>
          </w:p>
        </w:tc>
      </w:tr>
    </w:tbl>
    <w:p w14:paraId="16FF62E3" w14:textId="77777777" w:rsidR="002B554D" w:rsidRPr="00F35C43" w:rsidRDefault="002B554D" w:rsidP="002B554D">
      <w:pPr>
        <w:rPr>
          <w:sz w:val="24"/>
          <w:szCs w:val="24"/>
          <w:lang w:val="ro-RO"/>
        </w:rPr>
      </w:pPr>
      <w:r w:rsidRPr="00F35C43">
        <w:rPr>
          <w:sz w:val="24"/>
          <w:szCs w:val="24"/>
          <w:lang w:val="ro-RO"/>
        </w:rPr>
        <w:t>Președinte ședință,                                                      Contrasemnează Secretar general U.A.T,</w:t>
      </w:r>
    </w:p>
    <w:p w14:paraId="5E815E27" w14:textId="77777777" w:rsidR="002B554D" w:rsidRPr="00F35C43" w:rsidRDefault="002B554D" w:rsidP="002B554D">
      <w:pPr>
        <w:tabs>
          <w:tab w:val="left" w:pos="6870"/>
        </w:tabs>
        <w:rPr>
          <w:sz w:val="24"/>
          <w:szCs w:val="24"/>
          <w:lang w:val="ro-RO"/>
        </w:rPr>
      </w:pPr>
      <w:r w:rsidRPr="00F35C43">
        <w:rPr>
          <w:sz w:val="24"/>
          <w:szCs w:val="24"/>
          <w:lang w:val="ro-RO"/>
        </w:rPr>
        <w:t>David Victor</w:t>
      </w:r>
      <w:r w:rsidRPr="00F35C43">
        <w:rPr>
          <w:sz w:val="24"/>
          <w:szCs w:val="24"/>
          <w:lang w:val="ro-RO"/>
        </w:rPr>
        <w:tab/>
        <w:t>Doinita ILIE</w:t>
      </w:r>
    </w:p>
    <w:p w14:paraId="2405E725" w14:textId="77777777" w:rsidR="002B554D" w:rsidRPr="00F35C43" w:rsidRDefault="002B554D" w:rsidP="002B554D">
      <w:pPr>
        <w:rPr>
          <w:sz w:val="24"/>
          <w:szCs w:val="24"/>
          <w:lang w:val="ro-RO"/>
        </w:rPr>
      </w:pPr>
    </w:p>
    <w:p w14:paraId="11813C47" w14:textId="77777777" w:rsidR="002B554D" w:rsidRPr="00F35C43" w:rsidRDefault="002B554D" w:rsidP="002B554D">
      <w:pPr>
        <w:rPr>
          <w:sz w:val="24"/>
          <w:szCs w:val="24"/>
          <w:lang w:val="ro-RO"/>
        </w:rPr>
      </w:pPr>
    </w:p>
    <w:p w14:paraId="25F22E5C" w14:textId="77777777" w:rsidR="002B554D" w:rsidRPr="00F35C43" w:rsidRDefault="002B554D" w:rsidP="002B554D">
      <w:pPr>
        <w:rPr>
          <w:sz w:val="24"/>
          <w:szCs w:val="24"/>
          <w:lang w:val="ro-RO"/>
        </w:rPr>
      </w:pPr>
    </w:p>
    <w:p w14:paraId="56E94C99" w14:textId="77777777" w:rsidR="002B554D" w:rsidRPr="00F35C43" w:rsidRDefault="002B554D" w:rsidP="002B554D">
      <w:pPr>
        <w:rPr>
          <w:sz w:val="24"/>
          <w:szCs w:val="24"/>
          <w:lang w:val="ro-RO"/>
        </w:rPr>
      </w:pPr>
    </w:p>
    <w:p w14:paraId="0A919A6A" w14:textId="77777777" w:rsidR="00870D3F" w:rsidRPr="002B554D" w:rsidRDefault="00870D3F">
      <w:pPr>
        <w:spacing w:after="0"/>
        <w:ind w:firstLine="720"/>
        <w:rPr>
          <w:rFonts w:ascii="Times New Roman" w:eastAsia="Times New Roman" w:hAnsi="Times New Roman" w:cs="Times New Roman"/>
          <w:sz w:val="23"/>
          <w:szCs w:val="23"/>
          <w:lang w:val="ro-RO"/>
        </w:rPr>
      </w:pPr>
    </w:p>
    <w:p w14:paraId="0EDD9C5E" w14:textId="77777777" w:rsidR="00870D3F" w:rsidRPr="002B554D" w:rsidRDefault="00870D3F">
      <w:pPr>
        <w:spacing w:after="0"/>
        <w:ind w:firstLine="720"/>
        <w:rPr>
          <w:rFonts w:ascii="Times New Roman" w:eastAsia="Times New Roman" w:hAnsi="Times New Roman" w:cs="Times New Roman"/>
          <w:sz w:val="23"/>
          <w:szCs w:val="23"/>
          <w:lang w:val="ro-RO"/>
        </w:rPr>
      </w:pPr>
    </w:p>
    <w:p w14:paraId="66C47D0A" w14:textId="77777777" w:rsidR="00870D3F" w:rsidRPr="002B554D" w:rsidRDefault="00870D3F">
      <w:pPr>
        <w:spacing w:after="0"/>
        <w:ind w:firstLine="720"/>
        <w:rPr>
          <w:rFonts w:ascii="Times New Roman" w:eastAsia="Times New Roman" w:hAnsi="Times New Roman" w:cs="Times New Roman"/>
          <w:sz w:val="23"/>
          <w:szCs w:val="23"/>
          <w:lang w:val="ro-RO"/>
        </w:rPr>
      </w:pPr>
    </w:p>
    <w:p w14:paraId="1AFDDFFF" w14:textId="77777777" w:rsidR="00870D3F" w:rsidRPr="002B554D" w:rsidRDefault="0087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1" w:name="_1t3h5sf" w:colFirst="0" w:colLast="0"/>
      <w:bookmarkEnd w:id="1"/>
    </w:p>
    <w:p w14:paraId="1886FAAD" w14:textId="77777777" w:rsidR="00870D3F" w:rsidRPr="002B554D" w:rsidRDefault="0087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D4B8BCD" w14:textId="77777777" w:rsidR="00870D3F" w:rsidRPr="002B554D" w:rsidRDefault="00870D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4d34og8" w:colFirst="0" w:colLast="0"/>
      <w:bookmarkEnd w:id="2"/>
    </w:p>
    <w:p w14:paraId="263EFFDB" w14:textId="77777777" w:rsidR="00870D3F" w:rsidRPr="002B554D" w:rsidRDefault="00870D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C8CFC99" w14:textId="77777777" w:rsidR="002B554D" w:rsidRPr="002B554D" w:rsidRDefault="002B55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3C1539" w14:textId="77777777" w:rsidR="002B554D" w:rsidRPr="002B554D" w:rsidRDefault="002B55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79F7FA" w14:textId="77777777" w:rsidR="002B554D" w:rsidRPr="002B554D" w:rsidRDefault="002B55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464847" w14:textId="77777777" w:rsidR="002B554D" w:rsidRPr="002B554D" w:rsidRDefault="002B55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2F984DE" w14:textId="77777777" w:rsidR="002B554D" w:rsidRPr="002B554D" w:rsidRDefault="002B55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2B554D" w:rsidRPr="002B554D">
      <w:pgSz w:w="12240" w:h="15840"/>
      <w:pgMar w:top="851" w:right="1247" w:bottom="851" w:left="124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00D4"/>
    <w:multiLevelType w:val="multilevel"/>
    <w:tmpl w:val="F7D69166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D53419F"/>
    <w:multiLevelType w:val="multilevel"/>
    <w:tmpl w:val="847AB6D2"/>
    <w:lvl w:ilvl="0">
      <w:start w:val="3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F91A2A"/>
    <w:multiLevelType w:val="multilevel"/>
    <w:tmpl w:val="C12C35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3A37B0"/>
    <w:multiLevelType w:val="multilevel"/>
    <w:tmpl w:val="528A0D9C"/>
    <w:lvl w:ilvl="0">
      <w:start w:val="3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9460A"/>
    <w:multiLevelType w:val="multilevel"/>
    <w:tmpl w:val="4982517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7698668">
    <w:abstractNumId w:val="4"/>
  </w:num>
  <w:num w:numId="2" w16cid:durableId="1555775249">
    <w:abstractNumId w:val="3"/>
  </w:num>
  <w:num w:numId="3" w16cid:durableId="316346430">
    <w:abstractNumId w:val="0"/>
  </w:num>
  <w:num w:numId="4" w16cid:durableId="1011421021">
    <w:abstractNumId w:val="2"/>
  </w:num>
  <w:num w:numId="5" w16cid:durableId="66683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3F"/>
    <w:rsid w:val="00084A03"/>
    <w:rsid w:val="001D057F"/>
    <w:rsid w:val="001D3651"/>
    <w:rsid w:val="00205954"/>
    <w:rsid w:val="00241649"/>
    <w:rsid w:val="002B554D"/>
    <w:rsid w:val="0037614C"/>
    <w:rsid w:val="00472E02"/>
    <w:rsid w:val="004A53A9"/>
    <w:rsid w:val="00523847"/>
    <w:rsid w:val="00870D3F"/>
    <w:rsid w:val="008B46B1"/>
    <w:rsid w:val="008F0CE8"/>
    <w:rsid w:val="0094391D"/>
    <w:rsid w:val="009A2C58"/>
    <w:rsid w:val="00AC7C1B"/>
    <w:rsid w:val="00B42D5C"/>
    <w:rsid w:val="00BD65DC"/>
    <w:rsid w:val="00D34BF9"/>
    <w:rsid w:val="00E33F70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D6DE"/>
  <w15:docId w15:val="{139028FB-C741-4091-B37D-EDFB47C6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shd w:val="clear" w:color="auto" w:fill="D9D9D9"/>
      <w:spacing w:before="240" w:after="960" w:line="240" w:lineRule="auto"/>
      <w:ind w:left="432" w:hanging="432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spacing w:before="240" w:after="60" w:line="240" w:lineRule="auto"/>
      <w:ind w:left="576" w:hanging="576"/>
      <w:outlineLvl w:val="1"/>
    </w:pPr>
    <w:rPr>
      <w:rFonts w:ascii="Trebuchet MS" w:eastAsia="Trebuchet MS" w:hAnsi="Trebuchet MS" w:cs="Trebuchet MS"/>
      <w:b/>
      <w:sz w:val="24"/>
      <w:szCs w:val="24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864" w:hanging="864"/>
      <w:outlineLvl w:val="3"/>
    </w:pPr>
    <w:rPr>
      <w:rFonts w:ascii="Trebuchet MS" w:eastAsia="Trebuchet MS" w:hAnsi="Trebuchet MS" w:cs="Trebuchet MS"/>
      <w:b/>
      <w:sz w:val="20"/>
      <w:szCs w:val="20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left="1008" w:hanging="1008"/>
      <w:jc w:val="right"/>
      <w:outlineLvl w:val="4"/>
    </w:pPr>
    <w:rPr>
      <w:rFonts w:ascii="Trebuchet MS" w:eastAsia="Trebuchet MS" w:hAnsi="Trebuchet MS" w:cs="Trebuchet MS"/>
      <w:b/>
      <w:sz w:val="20"/>
      <w:szCs w:val="20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spacing w:before="120" w:after="120" w:line="240" w:lineRule="auto"/>
      <w:ind w:left="1152" w:hanging="1152"/>
      <w:jc w:val="right"/>
      <w:outlineLvl w:val="5"/>
    </w:pPr>
    <w:rPr>
      <w:rFonts w:ascii="Trebuchet MS" w:eastAsia="Trebuchet MS" w:hAnsi="Trebuchet MS" w:cs="Trebuchet MS"/>
      <w:b/>
      <w:smallCaps/>
      <w:color w:val="003366"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33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markedcontent">
    <w:name w:val="markedcontent"/>
    <w:basedOn w:val="Fontdeparagrafimplicit"/>
    <w:rsid w:val="00AC7C1B"/>
  </w:style>
  <w:style w:type="character" w:styleId="Hyperlink">
    <w:name w:val="Hyperlink"/>
    <w:rsid w:val="00AC7C1B"/>
    <w:rPr>
      <w:color w:val="0563C1"/>
      <w:u w:val="single"/>
    </w:rPr>
  </w:style>
  <w:style w:type="paragraph" w:styleId="Frspaiere">
    <w:name w:val="No Spacing"/>
    <w:uiPriority w:val="1"/>
    <w:qFormat/>
    <w:rsid w:val="00AC7C1B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Bodytext">
    <w:name w:val="Body text_"/>
    <w:link w:val="BodyText1"/>
    <w:locked/>
    <w:rsid w:val="00472E02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72E02"/>
    <w:pPr>
      <w:widowControl w:val="0"/>
      <w:shd w:val="clear" w:color="auto" w:fill="FFFFFF"/>
      <w:spacing w:before="180" w:after="600" w:line="384" w:lineRule="exact"/>
      <w:jc w:val="center"/>
    </w:pPr>
    <w:rPr>
      <w:sz w:val="25"/>
    </w:rPr>
  </w:style>
  <w:style w:type="paragraph" w:styleId="Corptext">
    <w:name w:val="Body Text"/>
    <w:basedOn w:val="Normal"/>
    <w:link w:val="CorptextCaracter"/>
    <w:uiPriority w:val="99"/>
    <w:unhideWhenUsed/>
    <w:rsid w:val="00472E02"/>
    <w:pPr>
      <w:spacing w:after="120" w:line="259" w:lineRule="auto"/>
    </w:pPr>
    <w:rPr>
      <w:rFonts w:cs="Times New Roman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72E02"/>
    <w:rPr>
      <w:rFonts w:cs="Times New Roman"/>
      <w:lang w:val="en-GB" w:eastAsia="en-US"/>
    </w:rPr>
  </w:style>
  <w:style w:type="character" w:customStyle="1" w:styleId="panchor">
    <w:name w:val="panchor"/>
    <w:basedOn w:val="Fontdeparagrafimplicit"/>
    <w:rsid w:val="0047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DOINITA</dc:creator>
  <cp:lastModifiedBy>Alexandru Odobescu</cp:lastModifiedBy>
  <cp:revision>2</cp:revision>
  <cp:lastPrinted>2023-07-14T08:57:00Z</cp:lastPrinted>
  <dcterms:created xsi:type="dcterms:W3CDTF">2023-07-18T08:43:00Z</dcterms:created>
  <dcterms:modified xsi:type="dcterms:W3CDTF">2023-07-18T08:43:00Z</dcterms:modified>
</cp:coreProperties>
</file>